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Структурное подразделение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Гвардейская ветеринарная лаборатория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обслуживает 16 районов Калининградской области.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состав ветлаборатории входят 6 отделов, 2 отделения, виварий для содержания здоровых животных.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Лаборатория осуществляет на закрепленной территории диагностическую работу, проведение лабораторных исследований; диагностику болезней животных, включая сельскохозяйственных домашних, зоопарковых и других животных, пушных зверей, птиц, пчел, рыбы и других гидробионтов; обеспечивает безопасность в ветеринарно-санитарном отношении сырья и продуктов животного и растительного происхождения, кормов и кормовых добавок; стоит на страже здоровья населения от болезней, общих для человека и животных.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Лаборатория выполняет следующие основные функции: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плановые и текущие диагностические исследования патологического материала и крови животных, с целью предупреждения и ликвидации инфекционных и массовых незаразных болезней животных; 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ветеринарно-санитарные исследования кормов, воды, продуктов и сырья животного и растительного происхождения, а также других подконтрольных объектов;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обеспечивает безопасность продуктов животноводства и растениеводства в ветеринарно-санитарном отношении, а также защиту населения от болезней, общих для человека и животных;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мероприятия по охране закрепленной территории от заноса и распространения инфекционных болезней животных из других регионов; </w:t>
        <w:tab/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разработке планов мероприятий по предупреждению и ликвидации заразных и массовых незаразных болезней животных; 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</w:t>
        <w:tab/>
        <w:t xml:space="preserve">микроскопические, бактериологические, биологические, патологоанатомические, серологические, гематологические, органолептические, химико-токсикологические, копрологические, радиологические и другие исследования соответствующих материалов, а также исследования кормов и воды с целью определения их безвредности для животных, а также пищевых продуктов и сырья животного и растительного происхождения по ветеринарно- санитарным показателям;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исследования уровня радиационной загрязненности и бактериальной обсемененности сырья животного происхождения и продуктов его переработки, кормов, воды; 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другие ветеринарные и организационные мероприятия применительно к местным условиям. 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